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11"/>
          <w:sz w:val="36"/>
          <w:szCs w:val="36"/>
          <w:shd w:val="clear" w:fill="FFFFFF"/>
          <w:lang w:val="en-US" w:eastAsia="zh-CN"/>
        </w:rPr>
      </w:pPr>
      <w:r>
        <w:rPr>
          <w:rFonts w:hint="eastAsia" w:ascii="微软雅黑" w:hAnsi="微软雅黑" w:eastAsia="微软雅黑" w:cs="微软雅黑"/>
          <w:b w:val="0"/>
          <w:bCs/>
          <w:i w:val="0"/>
          <w:caps w:val="0"/>
          <w:color w:val="333333"/>
          <w:spacing w:val="-11"/>
          <w:sz w:val="36"/>
          <w:szCs w:val="36"/>
          <w:shd w:val="clear" w:fill="FFFFFF"/>
          <w:lang w:val="en-US" w:eastAsia="zh-CN"/>
        </w:rPr>
        <w:t>关于延</w:t>
      </w:r>
      <w:bookmarkStart w:id="0" w:name="_GoBack"/>
      <w:bookmarkEnd w:id="0"/>
      <w:r>
        <w:rPr>
          <w:rFonts w:hint="eastAsia" w:ascii="微软雅黑" w:hAnsi="微软雅黑" w:eastAsia="微软雅黑" w:cs="微软雅黑"/>
          <w:b w:val="0"/>
          <w:bCs/>
          <w:i w:val="0"/>
          <w:caps w:val="0"/>
          <w:color w:val="333333"/>
          <w:spacing w:val="-11"/>
          <w:sz w:val="36"/>
          <w:szCs w:val="36"/>
          <w:shd w:val="clear" w:fill="FFFFFF"/>
          <w:lang w:val="en-US" w:eastAsia="zh-CN"/>
        </w:rPr>
        <w:t>续免征国产抗艾滋病病毒药品增值税政策的公告</w:t>
      </w:r>
    </w:p>
    <w:p>
      <w:pPr>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210" w:beforeAutospacing="0" w:after="210" w:afterAutospacing="0" w:line="440" w:lineRule="exact"/>
        <w:ind w:left="0" w:right="0"/>
        <w:jc w:val="center"/>
        <w:textAlignment w:val="auto"/>
        <w:rPr>
          <w:rStyle w:val="8"/>
          <w:rFonts w:hint="eastAsia" w:ascii="宋体" w:hAnsi="宋体" w:eastAsia="宋体" w:cs="宋体"/>
          <w:i w:val="0"/>
          <w:caps w:val="0"/>
          <w:color w:val="333333"/>
          <w:spacing w:val="0"/>
          <w:kern w:val="0"/>
          <w:sz w:val="24"/>
          <w:szCs w:val="24"/>
          <w:shd w:val="clear" w:fill="FFFFFF"/>
          <w:lang w:val="en-US" w:eastAsia="zh-CN" w:bidi="ar"/>
        </w:rPr>
      </w:pPr>
      <w:r>
        <w:rPr>
          <w:rStyle w:val="8"/>
          <w:rFonts w:hint="eastAsia" w:ascii="宋体" w:hAnsi="宋体" w:eastAsia="宋体" w:cs="宋体"/>
          <w:i w:val="0"/>
          <w:caps w:val="0"/>
          <w:color w:val="333333"/>
          <w:spacing w:val="0"/>
          <w:kern w:val="0"/>
          <w:sz w:val="24"/>
          <w:szCs w:val="24"/>
          <w:shd w:val="clear" w:fill="FFFFFF"/>
          <w:lang w:val="en-US" w:eastAsia="zh-CN" w:bidi="ar"/>
        </w:rPr>
        <w:t>财政部 税务总局公告2019年第73号</w:t>
      </w:r>
      <w:r>
        <w:rPr>
          <w:rStyle w:val="8"/>
          <w:rFonts w:hint="eastAsia" w:ascii="宋体" w:hAnsi="宋体" w:eastAsia="宋体" w:cs="宋体"/>
          <w:i w:val="0"/>
          <w:caps w:val="0"/>
          <w:color w:val="333333"/>
          <w:spacing w:val="0"/>
          <w:kern w:val="0"/>
          <w:sz w:val="24"/>
          <w:szCs w:val="24"/>
          <w:shd w:val="clear" w:fill="FFFFFF"/>
          <w:lang w:val="en-US" w:eastAsia="zh-CN" w:bidi="ar"/>
        </w:rPr>
        <w:fldChar w:fldCharType="begin"/>
      </w:r>
      <w:r>
        <w:rPr>
          <w:rStyle w:val="8"/>
          <w:rFonts w:hint="eastAsia" w:ascii="宋体" w:hAnsi="宋体" w:eastAsia="宋体" w:cs="宋体"/>
          <w:i w:val="0"/>
          <w:caps w:val="0"/>
          <w:color w:val="333333"/>
          <w:spacing w:val="0"/>
          <w:kern w:val="0"/>
          <w:sz w:val="24"/>
          <w:szCs w:val="24"/>
          <w:shd w:val="clear" w:fill="FFFFFF"/>
          <w:lang w:val="en-US" w:eastAsia="zh-CN" w:bidi="ar"/>
        </w:rPr>
        <w:instrText xml:space="preserve"> HYPERLINK "http://www.chinatax.gov.cn/n810341/n810755/c4404754/javascript:;" \o "分享到微信" </w:instrText>
      </w:r>
      <w:r>
        <w:rPr>
          <w:rStyle w:val="8"/>
          <w:rFonts w:hint="eastAsia" w:ascii="宋体" w:hAnsi="宋体" w:eastAsia="宋体" w:cs="宋体"/>
          <w:i w:val="0"/>
          <w:caps w:val="0"/>
          <w:color w:val="333333"/>
          <w:spacing w:val="0"/>
          <w:kern w:val="0"/>
          <w:sz w:val="24"/>
          <w:szCs w:val="24"/>
          <w:shd w:val="clear" w:fill="FFFFFF"/>
          <w:lang w:val="en-US" w:eastAsia="zh-CN" w:bidi="ar"/>
        </w:rPr>
        <w:fldChar w:fldCharType="separate"/>
      </w:r>
      <w:r>
        <w:rPr>
          <w:rStyle w:val="8"/>
          <w:rFonts w:hint="eastAsia" w:ascii="宋体" w:hAnsi="宋体" w:eastAsia="宋体" w:cs="宋体"/>
          <w:i w:val="0"/>
          <w:caps w:val="0"/>
          <w:color w:val="333333"/>
          <w:spacing w:val="0"/>
          <w:kern w:val="0"/>
          <w:sz w:val="24"/>
          <w:szCs w:val="24"/>
          <w:shd w:val="clear" w:fill="FFFFFF"/>
          <w:lang w:val="en-US" w:eastAsia="zh-CN" w:bidi="ar"/>
        </w:rPr>
        <w:t> </w:t>
      </w:r>
      <w:r>
        <w:rPr>
          <w:rStyle w:val="8"/>
          <w:rFonts w:hint="eastAsia" w:ascii="宋体" w:hAnsi="宋体" w:eastAsia="宋体" w:cs="宋体"/>
          <w:i w:val="0"/>
          <w:caps w:val="0"/>
          <w:color w:val="333333"/>
          <w:spacing w:val="0"/>
          <w:kern w:val="0"/>
          <w:sz w:val="24"/>
          <w:szCs w:val="24"/>
          <w:shd w:val="clear" w:fill="FFFFFF"/>
          <w:lang w:val="en-US" w:eastAsia="zh-CN" w:bidi="ar"/>
        </w:rPr>
        <w:fldChar w:fldCharType="end"/>
      </w:r>
      <w:r>
        <w:rPr>
          <w:rStyle w:val="8"/>
          <w:rFonts w:hint="eastAsia" w:ascii="宋体" w:hAnsi="宋体" w:eastAsia="宋体" w:cs="宋体"/>
          <w:i w:val="0"/>
          <w:caps w:val="0"/>
          <w:color w:val="333333"/>
          <w:spacing w:val="0"/>
          <w:kern w:val="0"/>
          <w:sz w:val="24"/>
          <w:szCs w:val="24"/>
          <w:shd w:val="clear" w:fill="FFFFFF"/>
          <w:lang w:val="en-US" w:eastAsia="zh-CN" w:bidi="ar"/>
        </w:rPr>
        <w:t xml:space="preserve"> </w:t>
      </w:r>
      <w:r>
        <w:rPr>
          <w:rStyle w:val="8"/>
          <w:rFonts w:hint="eastAsia" w:ascii="宋体" w:hAnsi="宋体" w:eastAsia="宋体" w:cs="宋体"/>
          <w:i w:val="0"/>
          <w:caps w:val="0"/>
          <w:color w:val="333333"/>
          <w:spacing w:val="0"/>
          <w:kern w:val="0"/>
          <w:sz w:val="24"/>
          <w:szCs w:val="24"/>
          <w:shd w:val="clear" w:fill="FFFFFF"/>
          <w:lang w:val="en-US" w:eastAsia="zh-CN" w:bidi="ar"/>
        </w:rPr>
        <w:fldChar w:fldCharType="begin"/>
      </w:r>
      <w:r>
        <w:rPr>
          <w:rStyle w:val="8"/>
          <w:rFonts w:hint="eastAsia" w:ascii="宋体" w:hAnsi="宋体" w:eastAsia="宋体" w:cs="宋体"/>
          <w:i w:val="0"/>
          <w:caps w:val="0"/>
          <w:color w:val="333333"/>
          <w:spacing w:val="0"/>
          <w:kern w:val="0"/>
          <w:sz w:val="24"/>
          <w:szCs w:val="24"/>
          <w:shd w:val="clear" w:fill="FFFFFF"/>
          <w:lang w:val="en-US" w:eastAsia="zh-CN" w:bidi="ar"/>
        </w:rPr>
        <w:instrText xml:space="preserve"> HYPERLINK "http://www.chinatax.gov.cn/n810341/n810755/c4404754/javascript:;" \o "分享到新浪微博" </w:instrText>
      </w:r>
      <w:r>
        <w:rPr>
          <w:rStyle w:val="8"/>
          <w:rFonts w:hint="eastAsia" w:ascii="宋体" w:hAnsi="宋体" w:eastAsia="宋体" w:cs="宋体"/>
          <w:i w:val="0"/>
          <w:caps w:val="0"/>
          <w:color w:val="333333"/>
          <w:spacing w:val="0"/>
          <w:kern w:val="0"/>
          <w:sz w:val="24"/>
          <w:szCs w:val="24"/>
          <w:shd w:val="clear" w:fill="FFFFFF"/>
          <w:lang w:val="en-US" w:eastAsia="zh-CN" w:bidi="ar"/>
        </w:rPr>
        <w:fldChar w:fldCharType="separate"/>
      </w:r>
      <w:r>
        <w:rPr>
          <w:rStyle w:val="8"/>
          <w:rFonts w:hint="eastAsia" w:ascii="宋体" w:hAnsi="宋体" w:eastAsia="宋体" w:cs="宋体"/>
          <w:i w:val="0"/>
          <w:caps w:val="0"/>
          <w:color w:val="333333"/>
          <w:spacing w:val="0"/>
          <w:kern w:val="0"/>
          <w:sz w:val="24"/>
          <w:szCs w:val="24"/>
          <w:shd w:val="clear" w:fill="FFFFFF"/>
          <w:lang w:val="en-US" w:eastAsia="zh-CN" w:bidi="ar"/>
        </w:rPr>
        <w:t> </w:t>
      </w:r>
      <w:r>
        <w:rPr>
          <w:rStyle w:val="8"/>
          <w:rFonts w:hint="eastAsia" w:ascii="宋体" w:hAnsi="宋体" w:eastAsia="宋体" w:cs="宋体"/>
          <w:i w:val="0"/>
          <w:caps w:val="0"/>
          <w:color w:val="333333"/>
          <w:spacing w:val="0"/>
          <w:kern w:val="0"/>
          <w:sz w:val="24"/>
          <w:szCs w:val="24"/>
          <w:shd w:val="clear" w:fill="FFFFFF"/>
          <w:lang w:val="en-US" w:eastAsia="zh-CN" w:bidi="ar"/>
        </w:rPr>
        <w:fldChar w:fldCharType="end"/>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为继续支持艾滋病防治工作，现将国产抗艾滋病病毒药品增值税政策公告如下：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一、自2019年1月1日至2020年12月31日，继续对国产抗艾滋病病毒药品免征生产环节和流通环节增值税(国产抗艾滋病病毒药物品种清单见附件)。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享受上述免征增值税政策的国产抗艾滋病病毒药品，须为各省（自治区、直辖市）艾滋病药品管理部门按照政府采购有关规定采购的，并向艾滋病病毒感染者和病人免费提供的抗艾滋病病毒药品。药品生产企业和流通企业应将药品供货合同留存，以备税务机关查验。</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三、抗艾滋病病毒药品的生产企业和流通企业应分别核算免税药品和其他货物的销售额；未分别核算的，不得享受增值税免税政策。</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四、在本公告发布之前已征收入库的按上述规定应予免征的增值税税款，可抵减纳税人以后月份应缴纳的增值税税款或者办理税款退库。已向购买方开具增值税专用发票的，应将专用发票追回后方可办理免税。无法追回专用发票的，不予免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特此公告。</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附件：</w:t>
      </w:r>
      <w:r>
        <w:rPr>
          <w:rFonts w:hint="eastAsia" w:asciiTheme="minorEastAsia" w:hAnsiTheme="minorEastAsia" w:eastAsiaTheme="minorEastAsia" w:cstheme="minorEastAsia"/>
          <w:color w:val="0000FF"/>
          <w:sz w:val="24"/>
          <w:szCs w:val="24"/>
          <w:u w:val="none"/>
          <w:shd w:val="clear" w:fill="FFFFFF"/>
        </w:rPr>
        <w:fldChar w:fldCharType="begin"/>
      </w:r>
      <w:r>
        <w:rPr>
          <w:rFonts w:hint="eastAsia" w:asciiTheme="minorEastAsia" w:hAnsiTheme="minorEastAsia" w:eastAsiaTheme="minorEastAsia" w:cstheme="minorEastAsia"/>
          <w:color w:val="0000FF"/>
          <w:sz w:val="24"/>
          <w:szCs w:val="24"/>
          <w:u w:val="none"/>
          <w:shd w:val="clear" w:fill="FFFFFF"/>
        </w:rPr>
        <w:instrText xml:space="preserve"> HYPERLINK "http://www.chinatax.gov.cn/n810341/n810755/c4404754/5127861/files/64773a5ce90242e19a92239fe31f6de2.docx" </w:instrText>
      </w:r>
      <w:r>
        <w:rPr>
          <w:rFonts w:hint="eastAsia" w:asciiTheme="minorEastAsia" w:hAnsiTheme="minorEastAsia" w:eastAsiaTheme="minorEastAsia" w:cstheme="minorEastAsia"/>
          <w:color w:val="0000FF"/>
          <w:sz w:val="24"/>
          <w:szCs w:val="24"/>
          <w:u w:val="none"/>
          <w:shd w:val="clear" w:fill="FFFFFF"/>
        </w:rPr>
        <w:fldChar w:fldCharType="separate"/>
      </w:r>
      <w:r>
        <w:rPr>
          <w:rStyle w:val="10"/>
          <w:rFonts w:hint="eastAsia" w:asciiTheme="minorEastAsia" w:hAnsiTheme="minorEastAsia" w:eastAsiaTheme="minorEastAsia" w:cstheme="minorEastAsia"/>
          <w:color w:val="0000FF"/>
          <w:sz w:val="24"/>
          <w:szCs w:val="24"/>
          <w:u w:val="none"/>
          <w:shd w:val="clear" w:fill="FFFFFF"/>
        </w:rPr>
        <w:t>国产抗艾滋病病毒药物品种清单</w:t>
      </w:r>
      <w:r>
        <w:rPr>
          <w:rFonts w:hint="eastAsia" w:asciiTheme="minorEastAsia" w:hAnsiTheme="minorEastAsia" w:eastAsiaTheme="minorEastAsia" w:cstheme="minorEastAsia"/>
          <w:color w:val="0000FF"/>
          <w:sz w:val="24"/>
          <w:szCs w:val="24"/>
          <w:u w:val="none"/>
          <w:shd w:val="clear" w:fill="FFFFFF"/>
        </w:rPr>
        <w:fldChar w:fldCharType="end"/>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财政部　税务总局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2019年6月5日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p>
      <w:pPr>
        <w:rPr>
          <w:sz w:val="32"/>
          <w:szCs w:val="32"/>
        </w:rPr>
      </w:pPr>
      <w:r>
        <w:rPr>
          <w:rFonts w:hint="eastAsia"/>
          <w:sz w:val="32"/>
          <w:szCs w:val="32"/>
        </w:rPr>
        <w:t>附件：</w:t>
      </w:r>
    </w:p>
    <w:p>
      <w:pPr>
        <w:rPr>
          <w:sz w:val="32"/>
          <w:szCs w:val="32"/>
        </w:rPr>
      </w:pPr>
    </w:p>
    <w:p>
      <w:pPr>
        <w:rPr>
          <w:sz w:val="32"/>
          <w:szCs w:val="32"/>
        </w:rPr>
      </w:pPr>
    </w:p>
    <w:p>
      <w:pPr>
        <w:jc w:val="center"/>
        <w:rPr>
          <w:rFonts w:ascii="华文中宋" w:hAnsi="华文中宋" w:eastAsia="华文中宋"/>
          <w:sz w:val="36"/>
          <w:szCs w:val="36"/>
        </w:rPr>
      </w:pPr>
      <w:r>
        <w:rPr>
          <w:rFonts w:hint="eastAsia" w:ascii="华文中宋" w:hAnsi="华文中宋" w:eastAsia="华文中宋"/>
          <w:sz w:val="36"/>
          <w:szCs w:val="36"/>
        </w:rPr>
        <w:t>国产抗艾滋病病毒药物品种清单</w:t>
      </w:r>
    </w:p>
    <w:p>
      <w:pPr>
        <w:jc w:val="center"/>
        <w:rPr>
          <w:rFonts w:ascii="华文中宋" w:hAnsi="华文中宋" w:eastAsia="华文中宋"/>
          <w:sz w:val="36"/>
          <w:szCs w:val="36"/>
        </w:rPr>
      </w:pPr>
    </w:p>
    <w:p>
      <w:pPr>
        <w:ind w:firstLine="640" w:firstLineChars="200"/>
        <w:rPr>
          <w:sz w:val="32"/>
          <w:szCs w:val="32"/>
        </w:rPr>
      </w:pPr>
      <w:r>
        <w:rPr>
          <w:sz w:val="32"/>
          <w:szCs w:val="32"/>
        </w:rPr>
        <w:t xml:space="preserve">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tcPr>
          <w:p>
            <w:pPr>
              <w:jc w:val="center"/>
              <w:rPr>
                <w:b/>
                <w:sz w:val="32"/>
                <w:szCs w:val="32"/>
              </w:rPr>
            </w:pPr>
            <w:r>
              <w:rPr>
                <w:rFonts w:hint="eastAsia"/>
                <w:b/>
                <w:sz w:val="32"/>
                <w:szCs w:val="32"/>
              </w:rPr>
              <w:t>序号</w:t>
            </w:r>
          </w:p>
        </w:tc>
        <w:tc>
          <w:tcPr>
            <w:tcW w:w="4261" w:type="dxa"/>
          </w:tcPr>
          <w:p>
            <w:pPr>
              <w:jc w:val="center"/>
              <w:rPr>
                <w:b/>
                <w:sz w:val="32"/>
                <w:szCs w:val="32"/>
              </w:rPr>
            </w:pPr>
            <w:r>
              <w:rPr>
                <w:rFonts w:hint="eastAsia"/>
                <w:b/>
                <w:sz w:val="32"/>
                <w:szCs w:val="32"/>
              </w:rPr>
              <w:t>药物品种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tcPr>
          <w:p>
            <w:pPr>
              <w:jc w:val="center"/>
              <w:rPr>
                <w:sz w:val="32"/>
                <w:szCs w:val="32"/>
              </w:rPr>
            </w:pPr>
            <w:r>
              <w:rPr>
                <w:rFonts w:hint="eastAsia"/>
                <w:sz w:val="32"/>
                <w:szCs w:val="32"/>
              </w:rPr>
              <w:t>1</w:t>
            </w:r>
          </w:p>
        </w:tc>
        <w:tc>
          <w:tcPr>
            <w:tcW w:w="4261" w:type="dxa"/>
          </w:tcPr>
          <w:p>
            <w:pPr>
              <w:jc w:val="center"/>
              <w:rPr>
                <w:sz w:val="32"/>
                <w:szCs w:val="32"/>
              </w:rPr>
            </w:pPr>
            <w:r>
              <w:rPr>
                <w:rFonts w:hint="eastAsia"/>
                <w:sz w:val="32"/>
                <w:szCs w:val="32"/>
              </w:rPr>
              <w:t>齐多夫定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tcPr>
          <w:p>
            <w:pPr>
              <w:jc w:val="center"/>
              <w:rPr>
                <w:sz w:val="32"/>
                <w:szCs w:val="32"/>
              </w:rPr>
            </w:pPr>
            <w:r>
              <w:rPr>
                <w:rFonts w:hint="eastAsia"/>
                <w:sz w:val="32"/>
                <w:szCs w:val="32"/>
              </w:rPr>
              <w:t>2</w:t>
            </w:r>
          </w:p>
        </w:tc>
        <w:tc>
          <w:tcPr>
            <w:tcW w:w="4261" w:type="dxa"/>
          </w:tcPr>
          <w:p>
            <w:pPr>
              <w:jc w:val="center"/>
              <w:rPr>
                <w:sz w:val="32"/>
                <w:szCs w:val="32"/>
              </w:rPr>
            </w:pPr>
            <w:r>
              <w:rPr>
                <w:rFonts w:hint="eastAsia"/>
                <w:sz w:val="32"/>
                <w:szCs w:val="32"/>
              </w:rPr>
              <w:t>拉米夫定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tcPr>
          <w:p>
            <w:pPr>
              <w:jc w:val="center"/>
              <w:rPr>
                <w:sz w:val="32"/>
                <w:szCs w:val="32"/>
              </w:rPr>
            </w:pPr>
            <w:r>
              <w:rPr>
                <w:rFonts w:hint="eastAsia"/>
                <w:sz w:val="32"/>
                <w:szCs w:val="32"/>
              </w:rPr>
              <w:t>3</w:t>
            </w:r>
          </w:p>
        </w:tc>
        <w:tc>
          <w:tcPr>
            <w:tcW w:w="4261" w:type="dxa"/>
          </w:tcPr>
          <w:p>
            <w:pPr>
              <w:jc w:val="center"/>
              <w:rPr>
                <w:sz w:val="32"/>
                <w:szCs w:val="32"/>
              </w:rPr>
            </w:pPr>
            <w:r>
              <w:rPr>
                <w:rFonts w:hint="eastAsia"/>
                <w:sz w:val="32"/>
                <w:szCs w:val="32"/>
              </w:rPr>
              <w:t>奈韦拉平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tcPr>
          <w:p>
            <w:pPr>
              <w:jc w:val="center"/>
              <w:rPr>
                <w:sz w:val="32"/>
                <w:szCs w:val="32"/>
              </w:rPr>
            </w:pPr>
            <w:r>
              <w:rPr>
                <w:rFonts w:hint="eastAsia"/>
                <w:sz w:val="32"/>
                <w:szCs w:val="32"/>
              </w:rPr>
              <w:t>4</w:t>
            </w:r>
          </w:p>
        </w:tc>
        <w:tc>
          <w:tcPr>
            <w:tcW w:w="4261" w:type="dxa"/>
          </w:tcPr>
          <w:p>
            <w:pPr>
              <w:jc w:val="center"/>
              <w:rPr>
                <w:sz w:val="32"/>
                <w:szCs w:val="32"/>
              </w:rPr>
            </w:pPr>
            <w:r>
              <w:rPr>
                <w:rFonts w:hint="eastAsia"/>
                <w:sz w:val="32"/>
                <w:szCs w:val="32"/>
              </w:rPr>
              <w:t>依非韦伦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tcPr>
          <w:p>
            <w:pPr>
              <w:jc w:val="center"/>
              <w:rPr>
                <w:sz w:val="32"/>
                <w:szCs w:val="32"/>
              </w:rPr>
            </w:pPr>
            <w:r>
              <w:rPr>
                <w:rFonts w:hint="eastAsia"/>
                <w:sz w:val="32"/>
                <w:szCs w:val="32"/>
              </w:rPr>
              <w:t>5</w:t>
            </w:r>
          </w:p>
        </w:tc>
        <w:tc>
          <w:tcPr>
            <w:tcW w:w="4261" w:type="dxa"/>
          </w:tcPr>
          <w:p>
            <w:pPr>
              <w:jc w:val="center"/>
              <w:rPr>
                <w:sz w:val="32"/>
                <w:szCs w:val="32"/>
              </w:rPr>
            </w:pPr>
            <w:r>
              <w:rPr>
                <w:rFonts w:hint="eastAsia"/>
                <w:sz w:val="32"/>
                <w:szCs w:val="32"/>
              </w:rPr>
              <w:t>替诺福韦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tcPr>
          <w:p>
            <w:pPr>
              <w:jc w:val="center"/>
              <w:rPr>
                <w:sz w:val="32"/>
                <w:szCs w:val="32"/>
              </w:rPr>
            </w:pPr>
            <w:r>
              <w:rPr>
                <w:rFonts w:hint="eastAsia"/>
                <w:sz w:val="32"/>
                <w:szCs w:val="32"/>
              </w:rPr>
              <w:t>6</w:t>
            </w:r>
          </w:p>
        </w:tc>
        <w:tc>
          <w:tcPr>
            <w:tcW w:w="4261" w:type="dxa"/>
          </w:tcPr>
          <w:p>
            <w:pPr>
              <w:jc w:val="center"/>
              <w:rPr>
                <w:sz w:val="32"/>
                <w:szCs w:val="32"/>
              </w:rPr>
            </w:pPr>
            <w:r>
              <w:rPr>
                <w:rFonts w:hint="eastAsia"/>
                <w:sz w:val="32"/>
                <w:szCs w:val="32"/>
              </w:rPr>
              <w:t>洛匹那韦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tcPr>
          <w:p>
            <w:pPr>
              <w:jc w:val="center"/>
              <w:rPr>
                <w:sz w:val="32"/>
                <w:szCs w:val="32"/>
              </w:rPr>
            </w:pPr>
            <w:r>
              <w:rPr>
                <w:rFonts w:hint="eastAsia"/>
                <w:sz w:val="32"/>
                <w:szCs w:val="32"/>
              </w:rPr>
              <w:t>7</w:t>
            </w:r>
          </w:p>
        </w:tc>
        <w:tc>
          <w:tcPr>
            <w:tcW w:w="4261" w:type="dxa"/>
          </w:tcPr>
          <w:p>
            <w:pPr>
              <w:jc w:val="center"/>
              <w:rPr>
                <w:sz w:val="32"/>
                <w:szCs w:val="32"/>
              </w:rPr>
            </w:pPr>
            <w:r>
              <w:rPr>
                <w:rFonts w:hint="eastAsia"/>
                <w:sz w:val="32"/>
                <w:szCs w:val="32"/>
              </w:rPr>
              <w:t>利托那韦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tcPr>
          <w:p>
            <w:pPr>
              <w:jc w:val="center"/>
              <w:rPr>
                <w:sz w:val="32"/>
                <w:szCs w:val="32"/>
              </w:rPr>
            </w:pPr>
            <w:r>
              <w:rPr>
                <w:rFonts w:hint="eastAsia"/>
                <w:sz w:val="32"/>
                <w:szCs w:val="32"/>
              </w:rPr>
              <w:t>8</w:t>
            </w:r>
          </w:p>
        </w:tc>
        <w:tc>
          <w:tcPr>
            <w:tcW w:w="4261" w:type="dxa"/>
          </w:tcPr>
          <w:p>
            <w:pPr>
              <w:jc w:val="center"/>
              <w:rPr>
                <w:sz w:val="32"/>
                <w:szCs w:val="32"/>
              </w:rPr>
            </w:pPr>
            <w:r>
              <w:rPr>
                <w:rFonts w:hint="eastAsia"/>
                <w:sz w:val="32"/>
                <w:szCs w:val="32"/>
              </w:rPr>
              <w:t>阿巴卡韦</w:t>
            </w:r>
          </w:p>
        </w:tc>
      </w:tr>
    </w:tbl>
    <w:p>
      <w:pPr>
        <w:ind w:firstLine="640" w:firstLineChars="200"/>
        <w:rPr>
          <w:sz w:val="32"/>
          <w:szCs w:val="32"/>
        </w:rPr>
      </w:pPr>
    </w:p>
    <w:p>
      <w:pPr>
        <w:ind w:firstLine="648"/>
        <w:rPr>
          <w:sz w:val="32"/>
          <w:szCs w:val="32"/>
        </w:rPr>
      </w:pPr>
      <w:r>
        <w:rPr>
          <w:rFonts w:hint="eastAsia"/>
          <w:sz w:val="32"/>
          <w:szCs w:val="32"/>
        </w:rPr>
        <w:t>国产抗艾滋病病毒药物，包括上表中所列药物及其制剂，以及由两种或三种药物组成的复合制剂。</w:t>
      </w:r>
    </w:p>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创艺简标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60927CA"/>
    <w:rsid w:val="0C5E61B1"/>
    <w:rsid w:val="1D906DC0"/>
    <w:rsid w:val="27392192"/>
    <w:rsid w:val="2F1A2DA1"/>
    <w:rsid w:val="32BC0BCB"/>
    <w:rsid w:val="3BF52543"/>
    <w:rsid w:val="3D63560F"/>
    <w:rsid w:val="45447286"/>
    <w:rsid w:val="4D0B45AB"/>
    <w:rsid w:val="4E257136"/>
    <w:rsid w:val="56C0654B"/>
    <w:rsid w:val="75E922E2"/>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styleId="9">
    <w:name w:val="FollowedHyperlink"/>
    <w:basedOn w:val="7"/>
    <w:uiPriority w:val="0"/>
    <w:rPr>
      <w:color w:val="333333"/>
      <w:u w:val="none"/>
    </w:rPr>
  </w:style>
  <w:style w:type="character" w:styleId="10">
    <w:name w:val="Hyperlink"/>
    <w:basedOn w:val="7"/>
    <w:uiPriority w:val="0"/>
    <w:rPr>
      <w:color w:val="333333"/>
      <w:u w:val="none"/>
    </w:rPr>
  </w:style>
  <w:style w:type="character" w:customStyle="1" w:styleId="11">
    <w:name w:val="hao1"/>
    <w:basedOn w:val="7"/>
    <w:uiPriority w:val="0"/>
    <w:rPr>
      <w:b/>
    </w:rPr>
  </w:style>
  <w:style w:type="character" w:customStyle="1" w:styleId="12">
    <w:name w:val="wz"/>
    <w:basedOn w:val="7"/>
    <w:uiPriority w:val="0"/>
    <w:rPr>
      <w:vanish/>
      <w:color w:val="808080"/>
    </w:rPr>
  </w:style>
  <w:style w:type="character" w:customStyle="1" w:styleId="13">
    <w:name w:val="hao12"/>
    <w:basedOn w:val="7"/>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2020-08-14T03:19:23Z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